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Прокуратура Усть-Коксинекого района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РАЗЪЯСНЯЕТ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На официальном сайте ФГИС</w:t>
        <w:br/>
        <w:t>ценообразования в строительстве</w:t>
        <w:br/>
        <w:t>создан портал оперативного</w:t>
        <w:br/>
        <w:t>информирования о фактах</w:t>
        <w:br/>
        <w:t>значительного увеличения</w:t>
        <w:br/>
        <w:t>стоимости строительных ресурсов</w:t>
        <w:br/>
        <w:t>за короткий период времени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Усть-Кокса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928" w:right="2074" w:bottom="1928" w:left="3039" w:header="1500" w:footer="1500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2022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Минстрой России в письме от 01.03.2022 №7921- ИФ/09 проинформировал о создании портала оперативного информирования о фактах значительного увеличения стоимости строительных ресурсов за короткий период времени.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Посредством портала заказчикам строительства и подрядным организациям предоставлена возможность направления конкретной информации (заявок) о наличии фактов: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6" w:val="left"/>
        </w:tabs>
        <w:bidi w:val="0"/>
        <w:spacing w:before="0" w:line="240" w:lineRule="auto"/>
        <w:ind w:left="0" w:right="0" w:firstLine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значительного повышения стоимости строительных ресурсов, планируемых к закупке на объекты капитального строительства;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7" w:val="left"/>
        </w:tabs>
        <w:bidi w:val="0"/>
        <w:spacing w:before="0" w:line="240" w:lineRule="auto"/>
        <w:ind w:left="0" w:right="0" w:firstLine="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отказа от продажи строительных ресурсов по зафиксированным ранее в контрактах ценам.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Приоритетной является информация по ценообразующим строительным ресурсам, оказывающим существенное влияние на стоимость строительства объектов капитального строительства (капитального ремонта, реконструкции).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Информация, предоставленная с использованием функционала созданного портала ФГИС ЦС, может быть использована в рамках проведения соответствующих проверок ФАС России для выявления спекулятивных составляющих по факту значительного повышения стоимости строительных ресурсов.</w:t>
      </w:r>
    </w:p>
    <w:sectPr>
      <w:footnotePr>
        <w:pos w:val="pageBottom"/>
        <w:numFmt w:val="decimal"/>
        <w:numRestart w:val="continuous"/>
      </w:footnotePr>
      <w:pgSz w:w="11900" w:h="16840"/>
      <w:pgMar w:top="1225" w:right="2105" w:bottom="1225" w:left="2921" w:header="797" w:footer="79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CharStyle6">
    <w:name w:val="Основной текст (3)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2620" w:line="334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auto"/>
      <w:spacing w:after="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